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4F" w:rsidRDefault="00C2464F" w:rsidP="0016493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3E2EC5" w:rsidRDefault="0055519C" w:rsidP="0016493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bookmarkStart w:id="0" w:name="_GoBack"/>
      <w:bookmarkEnd w:id="0"/>
    </w:p>
    <w:p w:rsidR="00AE4FC0" w:rsidRDefault="00AE4FC0" w:rsidP="001649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</w:p>
    <w:p w:rsidR="003E2EC5" w:rsidRPr="003E2EC5" w:rsidRDefault="003E2EC5" w:rsidP="003E2EC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3E2EC5">
        <w:rPr>
          <w:b/>
          <w:sz w:val="28"/>
          <w:szCs w:val="28"/>
          <w:lang w:val="en-US"/>
        </w:rPr>
        <w:t>Măsuri</w:t>
      </w:r>
      <w:proofErr w:type="spellEnd"/>
      <w:r w:rsidRPr="003E2EC5">
        <w:rPr>
          <w:b/>
          <w:sz w:val="28"/>
          <w:szCs w:val="28"/>
          <w:lang w:val="en-US"/>
        </w:rPr>
        <w:t xml:space="preserve"> </w:t>
      </w:r>
      <w:proofErr w:type="spellStart"/>
      <w:r w:rsidRPr="003E2EC5">
        <w:rPr>
          <w:b/>
          <w:sz w:val="28"/>
          <w:szCs w:val="28"/>
          <w:lang w:val="en-US"/>
        </w:rPr>
        <w:t>generale</w:t>
      </w:r>
      <w:proofErr w:type="spellEnd"/>
      <w:r w:rsidRPr="003E2EC5">
        <w:rPr>
          <w:b/>
          <w:sz w:val="28"/>
          <w:szCs w:val="28"/>
          <w:lang w:val="en-US"/>
        </w:rPr>
        <w:t xml:space="preserve"> de </w:t>
      </w:r>
      <w:proofErr w:type="spellStart"/>
      <w:r w:rsidRPr="003E2EC5">
        <w:rPr>
          <w:b/>
          <w:sz w:val="28"/>
          <w:szCs w:val="28"/>
          <w:lang w:val="en-US"/>
        </w:rPr>
        <w:t>prevenire</w:t>
      </w:r>
      <w:proofErr w:type="spellEnd"/>
      <w:r w:rsidRPr="003E2EC5">
        <w:rPr>
          <w:b/>
          <w:sz w:val="28"/>
          <w:szCs w:val="28"/>
          <w:lang w:val="en-US"/>
        </w:rPr>
        <w:t xml:space="preserve"> </w:t>
      </w:r>
      <w:proofErr w:type="gramStart"/>
      <w:r w:rsidRPr="003E2EC5">
        <w:rPr>
          <w:b/>
          <w:sz w:val="28"/>
          <w:szCs w:val="28"/>
          <w:lang w:val="en-US"/>
        </w:rPr>
        <w:t>a</w:t>
      </w:r>
      <w:proofErr w:type="gramEnd"/>
      <w:r w:rsidRPr="003E2EC5">
        <w:rPr>
          <w:b/>
          <w:sz w:val="28"/>
          <w:szCs w:val="28"/>
          <w:lang w:val="en-US"/>
        </w:rPr>
        <w:t xml:space="preserve"> </w:t>
      </w:r>
      <w:proofErr w:type="spellStart"/>
      <w:r w:rsidRPr="003E2EC5">
        <w:rPr>
          <w:b/>
          <w:sz w:val="28"/>
          <w:szCs w:val="28"/>
          <w:lang w:val="en-US"/>
        </w:rPr>
        <w:t>incendiilor</w:t>
      </w:r>
      <w:proofErr w:type="spellEnd"/>
      <w:r w:rsidRPr="003E2EC5">
        <w:rPr>
          <w:b/>
          <w:sz w:val="28"/>
          <w:szCs w:val="28"/>
          <w:lang w:val="en-US"/>
        </w:rPr>
        <w:t xml:space="preserve"> la </w:t>
      </w:r>
      <w:proofErr w:type="spellStart"/>
      <w:r w:rsidRPr="003E2EC5">
        <w:rPr>
          <w:b/>
          <w:sz w:val="28"/>
          <w:szCs w:val="28"/>
          <w:lang w:val="en-US"/>
        </w:rPr>
        <w:t>executarea</w:t>
      </w:r>
      <w:proofErr w:type="spellEnd"/>
      <w:r w:rsidRPr="003E2EC5">
        <w:rPr>
          <w:b/>
          <w:sz w:val="28"/>
          <w:szCs w:val="28"/>
          <w:lang w:val="en-US"/>
        </w:rPr>
        <w:t xml:space="preserve"> </w:t>
      </w:r>
      <w:proofErr w:type="spellStart"/>
      <w:r w:rsidRPr="003E2EC5">
        <w:rPr>
          <w:b/>
          <w:sz w:val="28"/>
          <w:szCs w:val="28"/>
          <w:lang w:val="en-US"/>
        </w:rPr>
        <w:t>lucrărilor</w:t>
      </w:r>
      <w:proofErr w:type="spellEnd"/>
      <w:r w:rsidRPr="003E2EC5">
        <w:rPr>
          <w:b/>
          <w:sz w:val="28"/>
          <w:szCs w:val="28"/>
          <w:lang w:val="en-US"/>
        </w:rPr>
        <w:t xml:space="preserve"> cu </w:t>
      </w:r>
      <w:proofErr w:type="spellStart"/>
      <w:r w:rsidRPr="003E2EC5">
        <w:rPr>
          <w:b/>
          <w:sz w:val="28"/>
          <w:szCs w:val="28"/>
          <w:lang w:val="en-US"/>
        </w:rPr>
        <w:t>foc</w:t>
      </w:r>
      <w:proofErr w:type="spellEnd"/>
      <w:r w:rsidRPr="003E2EC5">
        <w:rPr>
          <w:b/>
          <w:sz w:val="28"/>
          <w:szCs w:val="28"/>
          <w:lang w:val="en-US"/>
        </w:rPr>
        <w:t xml:space="preserve"> </w:t>
      </w:r>
      <w:proofErr w:type="spellStart"/>
      <w:r w:rsidRPr="003E2EC5">
        <w:rPr>
          <w:b/>
          <w:sz w:val="28"/>
          <w:szCs w:val="28"/>
          <w:lang w:val="en-US"/>
        </w:rPr>
        <w:t>deschis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pentru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igienizarea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curților</w:t>
      </w:r>
      <w:proofErr w:type="spellEnd"/>
      <w:r w:rsidR="007E6ECC">
        <w:rPr>
          <w:b/>
          <w:sz w:val="28"/>
          <w:szCs w:val="28"/>
          <w:lang w:val="en-US"/>
        </w:rPr>
        <w:t xml:space="preserve"> / </w:t>
      </w:r>
      <w:proofErr w:type="spellStart"/>
      <w:r w:rsidR="007E6ECC">
        <w:rPr>
          <w:b/>
          <w:sz w:val="28"/>
          <w:szCs w:val="28"/>
          <w:lang w:val="en-US"/>
        </w:rPr>
        <w:t>anexelor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gospodărești</w:t>
      </w:r>
      <w:proofErr w:type="spellEnd"/>
      <w:r w:rsidR="007E6ECC" w:rsidRP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și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arderea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vegetației</w:t>
      </w:r>
      <w:proofErr w:type="spellEnd"/>
      <w:r w:rsidR="007E6ECC">
        <w:rPr>
          <w:b/>
          <w:sz w:val="28"/>
          <w:szCs w:val="28"/>
          <w:lang w:val="en-US"/>
        </w:rPr>
        <w:t xml:space="preserve"> </w:t>
      </w:r>
      <w:proofErr w:type="spellStart"/>
      <w:r w:rsidR="007E6ECC">
        <w:rPr>
          <w:b/>
          <w:sz w:val="28"/>
          <w:szCs w:val="28"/>
          <w:lang w:val="en-US"/>
        </w:rPr>
        <w:t>uscate</w:t>
      </w:r>
      <w:proofErr w:type="spellEnd"/>
    </w:p>
    <w:p w:rsidR="003E2EC5" w:rsidRDefault="003E2EC5" w:rsidP="0016493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64933" w:rsidRPr="00164933" w:rsidRDefault="00164933" w:rsidP="00164933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164933">
        <w:rPr>
          <w:sz w:val="24"/>
          <w:szCs w:val="24"/>
        </w:rPr>
        <w:t xml:space="preserve">utilizarea focului deschis în locuri cu pericol de incendiu şi pe timp de vânt este interzisă (art. 97 </w:t>
      </w:r>
      <w:r w:rsidR="007E6ECC">
        <w:rPr>
          <w:sz w:val="24"/>
          <w:szCs w:val="24"/>
        </w:rPr>
        <w:t xml:space="preserve">alin. </w:t>
      </w:r>
      <w:r w:rsidRPr="00164933">
        <w:rPr>
          <w:sz w:val="24"/>
          <w:szCs w:val="24"/>
        </w:rPr>
        <w:t xml:space="preserve">(1) din Ordinul MAI 163/2007 pentru aprobarea Normelor </w:t>
      </w:r>
      <w:r>
        <w:rPr>
          <w:sz w:val="24"/>
          <w:szCs w:val="24"/>
        </w:rPr>
        <w:t>g</w:t>
      </w:r>
      <w:r w:rsidRPr="00164933">
        <w:rPr>
          <w:sz w:val="24"/>
          <w:szCs w:val="24"/>
        </w:rPr>
        <w:t xml:space="preserve">enerale de </w:t>
      </w:r>
      <w:r>
        <w:rPr>
          <w:sz w:val="24"/>
          <w:szCs w:val="24"/>
        </w:rPr>
        <w:t>a</w:t>
      </w:r>
      <w:r w:rsidRPr="00164933">
        <w:rPr>
          <w:sz w:val="24"/>
          <w:szCs w:val="24"/>
        </w:rPr>
        <w:t xml:space="preserve">părare împotriva </w:t>
      </w:r>
      <w:r>
        <w:rPr>
          <w:sz w:val="24"/>
          <w:szCs w:val="24"/>
        </w:rPr>
        <w:t>i</w:t>
      </w:r>
      <w:r w:rsidRPr="00164933">
        <w:rPr>
          <w:sz w:val="24"/>
          <w:szCs w:val="24"/>
        </w:rPr>
        <w:t>ncendiilor, cu modificările şi completările ulterioare);</w:t>
      </w:r>
    </w:p>
    <w:p w:rsidR="00164933" w:rsidRPr="00164933" w:rsidRDefault="00164933" w:rsidP="00164933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arderea resturilor vegetale, gunoaielor, deşeurilor şi a altor materiale combustibile se face în locuri special amenajate ori pe terenuri pregătite, cu luarea măsurilor ce se impun pentru împiedicarea propagării focului la vecinătăţi, asigurându-se supravegherea permanentă a arderii, precum şi stingerea jarului după terminarea activităţii (art. 97</w:t>
      </w:r>
      <w:r w:rsidR="007E6ECC" w:rsidRPr="007E6ECC">
        <w:rPr>
          <w:sz w:val="24"/>
          <w:szCs w:val="24"/>
        </w:rPr>
        <w:t xml:space="preserve"> </w:t>
      </w:r>
      <w:r w:rsidR="007E6ECC">
        <w:rPr>
          <w:sz w:val="24"/>
          <w:szCs w:val="24"/>
        </w:rPr>
        <w:t xml:space="preserve">alin. </w:t>
      </w:r>
      <w:r w:rsidRPr="00164933">
        <w:rPr>
          <w:sz w:val="24"/>
          <w:szCs w:val="24"/>
        </w:rPr>
        <w:t>(3) din Ordinul MAI 163/2007);</w:t>
      </w:r>
    </w:p>
    <w:p w:rsidR="00164933" w:rsidRPr="00164933" w:rsidRDefault="00164933" w:rsidP="00164933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164933">
        <w:rPr>
          <w:sz w:val="24"/>
          <w:szCs w:val="24"/>
        </w:rPr>
        <w:t xml:space="preserve">arderea miriştilor se face numai după luarea măsurilor ce se impun pentru împiedicarea propagării focului la vecinătăţi, asigurându-se supravegherea permanentă a arderii (art. 97 </w:t>
      </w:r>
      <w:r w:rsidR="007E6ECC">
        <w:rPr>
          <w:sz w:val="24"/>
          <w:szCs w:val="24"/>
        </w:rPr>
        <w:t xml:space="preserve">alin. </w:t>
      </w:r>
      <w:r w:rsidRPr="00164933">
        <w:rPr>
          <w:sz w:val="24"/>
          <w:szCs w:val="24"/>
        </w:rPr>
        <w:t>(4) din Ordinul MAI 163/2007);</w:t>
      </w:r>
    </w:p>
    <w:p w:rsidR="00164933" w:rsidRPr="00164933" w:rsidRDefault="00164933" w:rsidP="00164933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nu se admite utilizarea focului deschis la distanţe mai mici de 40 metri faţă de locurile cu pericol de explozie (gaze şi lichide combustibile</w:t>
      </w:r>
      <w:r w:rsidR="007E6ECC">
        <w:rPr>
          <w:sz w:val="24"/>
          <w:szCs w:val="24"/>
        </w:rPr>
        <w:t>, vapori inflamabili, explozivi</w:t>
      </w:r>
      <w:r w:rsidRPr="00164933">
        <w:rPr>
          <w:sz w:val="24"/>
          <w:szCs w:val="24"/>
        </w:rPr>
        <w:t xml:space="preserve"> etc</w:t>
      </w:r>
      <w:r w:rsidR="007E6ECC">
        <w:rPr>
          <w:sz w:val="24"/>
          <w:szCs w:val="24"/>
        </w:rPr>
        <w:t>.</w:t>
      </w:r>
      <w:r w:rsidRPr="00164933">
        <w:rPr>
          <w:sz w:val="24"/>
          <w:szCs w:val="24"/>
        </w:rPr>
        <w:t>), respectiv 10 metri faţă de materiale sau substanţe combustibile (hârtie, lemn, textile, carton asfaltat, bitum, ulei etc</w:t>
      </w:r>
      <w:r>
        <w:rPr>
          <w:sz w:val="24"/>
          <w:szCs w:val="24"/>
        </w:rPr>
        <w:t>.</w:t>
      </w:r>
      <w:r w:rsidRPr="00164933">
        <w:rPr>
          <w:sz w:val="24"/>
          <w:szCs w:val="24"/>
        </w:rPr>
        <w:t xml:space="preserve">), fără a fi supravegheat şi asigurat prin măsuri corespunzătoare (art. 97 </w:t>
      </w:r>
      <w:r w:rsidR="007E6ECC">
        <w:rPr>
          <w:sz w:val="24"/>
          <w:szCs w:val="24"/>
        </w:rPr>
        <w:t xml:space="preserve">alin. </w:t>
      </w:r>
      <w:r w:rsidRPr="00164933">
        <w:rPr>
          <w:sz w:val="24"/>
          <w:szCs w:val="24"/>
        </w:rPr>
        <w:t>(5) din Ordinul MAI 163/2007);</w:t>
      </w:r>
    </w:p>
    <w:p w:rsidR="00164933" w:rsidRPr="00164933" w:rsidRDefault="00164933" w:rsidP="00164933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164933">
        <w:rPr>
          <w:sz w:val="24"/>
          <w:szCs w:val="24"/>
        </w:rPr>
        <w:t xml:space="preserve">conform prevederilor art. 5 din Ordinul comun al Ministerului Internelor şi Reformei Administrative şi al Ministerului Agriculturii şi Dezvoltării Rurale nr. 605/579/2008 pentru aprobarea Dispoziţiilor Generale de apărare împotriva incendiilor pe timpul utilizării focului deschis la arderea de mirişti, vegetaţie uscată şi resturi vegetale, </w:t>
      </w:r>
      <w:r w:rsidRPr="00164933">
        <w:rPr>
          <w:sz w:val="24"/>
          <w:szCs w:val="24"/>
          <w:u w:val="single"/>
        </w:rPr>
        <w:t>arderea miriştii</w:t>
      </w:r>
      <w:r w:rsidRPr="00164933">
        <w:rPr>
          <w:sz w:val="24"/>
          <w:szCs w:val="24"/>
        </w:rPr>
        <w:t xml:space="preserve"> se face cu respectarea următoarelor prevederi generale: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condiţii meteorologice fără vânt;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parcelarea miriştii în suprafeţe de maximum 10 ha, prin fâşii arate;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izolarea zonei de ardere faţă de căi de comunicaţie, construcţii, culturi agricole vecine, instalaţii, fond forestier, prin executarea de fâşii arate;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lastRenderedPageBreak/>
        <w:t>desfăşurarea arderii numai pe timp de zi;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asigurarea până la finalizarea arderii a personalului de supraveghere şi stingere a eventualelor incendii;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asigurarea pentru suprafeţe de ardere mai mici de 5 ha a substanţelor şi mijloacelor de stingere necesare;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asigurarea, în cazul suprafeţelor de ardere mai mari de 5 ha, a unui plug, a unei cisterne cu apă, a mijloacelor de tractare şi a personalului de deservire;</w:t>
      </w:r>
    </w:p>
    <w:p w:rsidR="00164933" w:rsidRPr="00164933" w:rsidRDefault="00164933" w:rsidP="00164933">
      <w:pPr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pe terenurile în pantă, arderea miriştii se face pornind din partea de sus a pantei.</w:t>
      </w:r>
    </w:p>
    <w:p w:rsidR="00164933" w:rsidRPr="00164933" w:rsidRDefault="00164933" w:rsidP="00164933">
      <w:pPr>
        <w:pStyle w:val="ListParagraph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164933">
        <w:rPr>
          <w:sz w:val="24"/>
          <w:szCs w:val="24"/>
        </w:rPr>
        <w:t xml:space="preserve">conform prevederilor art. 6 din Ordinul comun al Ministerului Internelor şi Reformei Administrative şi al Ministerului Agriculturii şi Dezvoltării Rurale nr. 605/579/2008, </w:t>
      </w:r>
      <w:r w:rsidRPr="00164933">
        <w:rPr>
          <w:sz w:val="24"/>
          <w:szCs w:val="24"/>
          <w:u w:val="single"/>
        </w:rPr>
        <w:t>arderea vegetaţiei uscate şi a resturilor vegetale</w:t>
      </w:r>
      <w:r w:rsidRPr="00164933">
        <w:rPr>
          <w:sz w:val="24"/>
          <w:szCs w:val="24"/>
        </w:rPr>
        <w:t xml:space="preserve"> se face cu respectarea următoarelor prevederi generale: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condiţii meteorologice fără vânt;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colectarea în grămezi a vegetaţiei uscate şi a resturilor vegetale în cantităţi astfel încât arderea să poată fi controlată;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iCs/>
          <w:sz w:val="24"/>
          <w:szCs w:val="24"/>
        </w:rPr>
        <w:t>executarea arderii în zone care să nu permită propagarea focului</w:t>
      </w:r>
      <w:r w:rsidRPr="00164933">
        <w:rPr>
          <w:sz w:val="24"/>
          <w:szCs w:val="24"/>
        </w:rPr>
        <w:t xml:space="preserve"> la fondul forestier/construcţii şi să nu afecteze reţelele electrice, de comunicaţii, conductele de transport gaze naturale, produsele petroliere ori alte bunuri materiale combustibile;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curăţarea de vegetaţie a suprafeţei din jurul fiecărei grămezi pe o distanţă de 5 m;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desfăşurarea arderii numai pe timp de zi;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asigurarea mijloacelor şi materialelor pentru stingerea eventualelor incendii;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supravegherea permanentă a arderii;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stingerea totală a focului înainte de părăsirea locului arderii;</w:t>
      </w:r>
    </w:p>
    <w:p w:rsidR="00164933" w:rsidRPr="00164933" w:rsidRDefault="00164933" w:rsidP="00164933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164933">
        <w:rPr>
          <w:sz w:val="24"/>
          <w:szCs w:val="24"/>
        </w:rPr>
        <w:t>interzicerea acoperirii cu pământ a focarelor</w:t>
      </w:r>
    </w:p>
    <w:p w:rsidR="00164933" w:rsidRDefault="00164933"/>
    <w:p w:rsidR="00164933" w:rsidRDefault="00164933" w:rsidP="00164933"/>
    <w:p w:rsidR="008B2AAA" w:rsidRPr="00485F1B" w:rsidRDefault="008B2AAA" w:rsidP="008C40A5">
      <w:pPr>
        <w:pStyle w:val="ListParagraph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8B2AAA" w:rsidRPr="00485F1B" w:rsidSect="00A628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1296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87" w:rsidRDefault="00C85B87" w:rsidP="00485F1B">
      <w:r>
        <w:separator/>
      </w:r>
    </w:p>
  </w:endnote>
  <w:endnote w:type="continuationSeparator" w:id="0">
    <w:p w:rsidR="00C85B87" w:rsidRDefault="00C85B87" w:rsidP="004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23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69E5" w:rsidRPr="00AB69E5" w:rsidRDefault="00A62810" w:rsidP="00AB69E5">
        <w:pPr>
          <w:pStyle w:val="Footer"/>
          <w:jc w:val="center"/>
        </w:pPr>
        <w:r w:rsidRPr="00A62810">
          <w:rPr>
            <w:lang w:val="en-US"/>
          </w:rPr>
          <w:t xml:space="preserve">                              </w:t>
        </w:r>
        <w:r>
          <w:rPr>
            <w:lang w:val="en-US"/>
          </w:rPr>
          <w:t xml:space="preserve">                                      </w:t>
        </w:r>
        <w:r w:rsidR="00AB69E5">
          <w:rPr>
            <w:lang w:val="en-US"/>
          </w:rPr>
          <w:t xml:space="preserve">                   </w:t>
        </w:r>
        <w:r w:rsidR="00AB69E5" w:rsidRPr="0055519C">
          <w:rPr>
            <w:bCs/>
          </w:rPr>
          <w:fldChar w:fldCharType="begin"/>
        </w:r>
        <w:r w:rsidR="00AB69E5" w:rsidRPr="0055519C">
          <w:rPr>
            <w:bCs/>
          </w:rPr>
          <w:instrText xml:space="preserve"> PAGE </w:instrText>
        </w:r>
        <w:r w:rsidR="00AB69E5" w:rsidRPr="0055519C">
          <w:rPr>
            <w:bCs/>
          </w:rPr>
          <w:fldChar w:fldCharType="separate"/>
        </w:r>
        <w:r w:rsidR="0055519C">
          <w:rPr>
            <w:bCs/>
            <w:noProof/>
          </w:rPr>
          <w:t>2</w:t>
        </w:r>
        <w:r w:rsidR="00AB69E5" w:rsidRPr="0055519C">
          <w:rPr>
            <w:lang w:val="en-US"/>
          </w:rPr>
          <w:fldChar w:fldCharType="end"/>
        </w:r>
        <w:r w:rsidR="00AB69E5" w:rsidRPr="0055519C">
          <w:t xml:space="preserve"> / </w:t>
        </w:r>
        <w:r w:rsidR="00AB69E5" w:rsidRPr="0055519C">
          <w:rPr>
            <w:bCs/>
          </w:rPr>
          <w:t>2</w:t>
        </w:r>
        <w:r w:rsidR="00AB69E5" w:rsidRPr="00AB69E5">
          <w:t xml:space="preserve">                                                                                   </w:t>
        </w:r>
        <w:r w:rsidR="00AB69E5" w:rsidRPr="00AB69E5">
          <w:rPr>
            <w:i/>
          </w:rPr>
          <w:t>NESECRET</w:t>
        </w:r>
      </w:p>
      <w:p w:rsidR="00AB69E5" w:rsidRPr="00AB69E5" w:rsidRDefault="00AB69E5" w:rsidP="00AB69E5">
        <w:pPr>
          <w:pStyle w:val="Footer"/>
          <w:jc w:val="center"/>
        </w:pPr>
        <w:r w:rsidRPr="00AB69E5">
          <w:rPr>
            <w:noProof/>
            <w:lang w:val="en-US"/>
          </w:rPr>
          <w:drawing>
            <wp:inline distT="0" distB="0" distL="0" distR="0" wp14:anchorId="1840449B" wp14:editId="7494BDCE">
              <wp:extent cx="4175760" cy="5715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75760" cy="57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:rsidR="00AB69E5" w:rsidRPr="00AB69E5" w:rsidRDefault="00AB69E5" w:rsidP="00AB69E5">
        <w:pPr>
          <w:pStyle w:val="Footer"/>
          <w:jc w:val="center"/>
        </w:pPr>
        <w:r w:rsidRPr="00AB69E5">
          <w:t>Adresa: Str. A.I. Cuza, nr. 10, Alba Iulia</w:t>
        </w:r>
      </w:p>
      <w:p w:rsidR="00AB69E5" w:rsidRPr="00AB69E5" w:rsidRDefault="00AB69E5" w:rsidP="00AB69E5">
        <w:pPr>
          <w:pStyle w:val="Footer"/>
          <w:jc w:val="center"/>
          <w:rPr>
            <w:lang w:val="en-US"/>
          </w:rPr>
        </w:pPr>
        <w:r w:rsidRPr="00AB69E5">
          <w:t>Tel</w:t>
        </w:r>
        <w:r w:rsidRPr="00AB69E5">
          <w:rPr>
            <w:lang w:val="en-US"/>
          </w:rPr>
          <w:t xml:space="preserve">: 0258810411, fax: 0258810425, E-mail: </w:t>
        </w:r>
        <w:hyperlink r:id="rId2" w:history="1">
          <w:r w:rsidRPr="00AB69E5">
            <w:rPr>
              <w:rStyle w:val="Hyperlink"/>
              <w:lang w:val="en-US"/>
            </w:rPr>
            <w:t>isujab@isualba.ro</w:t>
          </w:r>
        </w:hyperlink>
      </w:p>
      <w:p w:rsidR="00485F1B" w:rsidRDefault="00C85B87" w:rsidP="00AB69E5">
        <w:pPr>
          <w:pStyle w:val="Footer"/>
          <w:jc w:val="center"/>
        </w:pPr>
      </w:p>
    </w:sdtContent>
  </w:sdt>
  <w:p w:rsidR="00485F1B" w:rsidRDefault="00485F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E5" w:rsidRPr="00506089" w:rsidRDefault="00AB69E5" w:rsidP="00AB69E5">
    <w:pPr>
      <w:pStyle w:val="Footer"/>
      <w:jc w:val="right"/>
    </w:pPr>
    <w:r w:rsidRPr="00506089">
      <w:rPr>
        <w:bCs/>
      </w:rPr>
      <w:fldChar w:fldCharType="begin"/>
    </w:r>
    <w:r w:rsidRPr="00506089">
      <w:rPr>
        <w:bCs/>
      </w:rPr>
      <w:instrText xml:space="preserve"> PAGE </w:instrText>
    </w:r>
    <w:r w:rsidRPr="00506089">
      <w:rPr>
        <w:bCs/>
      </w:rPr>
      <w:fldChar w:fldCharType="separate"/>
    </w:r>
    <w:r w:rsidR="0055519C">
      <w:rPr>
        <w:bCs/>
        <w:noProof/>
      </w:rPr>
      <w:t>1</w:t>
    </w:r>
    <w:r w:rsidRPr="00506089">
      <w:fldChar w:fldCharType="end"/>
    </w:r>
    <w:r w:rsidRPr="00506089">
      <w:t xml:space="preserve"> / </w:t>
    </w:r>
    <w:r w:rsidRPr="00506089">
      <w:rPr>
        <w:bCs/>
      </w:rPr>
      <w:t>2</w:t>
    </w:r>
    <w:r w:rsidRPr="00506089">
      <w:t xml:space="preserve">                                                                                   NESECRET</w:t>
    </w:r>
  </w:p>
  <w:p w:rsidR="00AB69E5" w:rsidRPr="00506089" w:rsidRDefault="00AB69E5" w:rsidP="00AB69E5">
    <w:pPr>
      <w:pStyle w:val="Footer"/>
      <w:jc w:val="center"/>
    </w:pPr>
    <w:r w:rsidRPr="00506089">
      <w:rPr>
        <w:noProof/>
        <w:lang w:val="en-US"/>
      </w:rPr>
      <w:drawing>
        <wp:inline distT="0" distB="0" distL="0" distR="0" wp14:anchorId="14206325" wp14:editId="39883B76">
          <wp:extent cx="4175760" cy="5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576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69E5" w:rsidRPr="00506089" w:rsidRDefault="00AB69E5" w:rsidP="00AB69E5">
    <w:pPr>
      <w:pStyle w:val="Footer"/>
      <w:jc w:val="center"/>
    </w:pPr>
    <w:r w:rsidRPr="00506089">
      <w:t>Adresa: Str. A.I. Cuza, nr. 10, Alba Iulia</w:t>
    </w:r>
  </w:p>
  <w:p w:rsidR="00AB69E5" w:rsidRPr="00506089" w:rsidRDefault="00AB69E5" w:rsidP="00AB69E5">
    <w:pPr>
      <w:pStyle w:val="Footer"/>
      <w:jc w:val="center"/>
      <w:rPr>
        <w:lang w:val="en-US"/>
      </w:rPr>
    </w:pPr>
    <w:r w:rsidRPr="00506089">
      <w:t>Tel</w:t>
    </w:r>
    <w:r w:rsidRPr="00506089">
      <w:rPr>
        <w:lang w:val="en-US"/>
      </w:rPr>
      <w:t xml:space="preserve">: 0258810411, fax: 0258810425, E-mail: </w:t>
    </w:r>
    <w:hyperlink r:id="rId2" w:history="1">
      <w:r w:rsidRPr="00506089">
        <w:rPr>
          <w:rStyle w:val="Hyperlink"/>
          <w:lang w:val="en-US"/>
        </w:rPr>
        <w:t>isujab@isualba.ro</w:t>
      </w:r>
    </w:hyperlink>
  </w:p>
  <w:p w:rsidR="00A62810" w:rsidRDefault="00A62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87" w:rsidRDefault="00C85B87" w:rsidP="00485F1B">
      <w:r>
        <w:separator/>
      </w:r>
    </w:p>
  </w:footnote>
  <w:footnote w:type="continuationSeparator" w:id="0">
    <w:p w:rsidR="00C85B87" w:rsidRDefault="00C85B87" w:rsidP="0048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10" w:rsidRPr="00875CEB" w:rsidRDefault="00A62810" w:rsidP="00A62810">
    <w:pPr>
      <w:spacing w:line="360" w:lineRule="auto"/>
      <w:jc w:val="right"/>
      <w:rPr>
        <w:b/>
        <w:i/>
        <w:sz w:val="24"/>
        <w:szCs w:val="24"/>
      </w:rPr>
    </w:pPr>
    <w:r w:rsidRPr="00875CEB">
      <w:rPr>
        <w:b/>
        <w:sz w:val="24"/>
        <w:szCs w:val="24"/>
        <w:lang w:val="it-IT"/>
      </w:rPr>
      <w:t xml:space="preserve">                       </w:t>
    </w:r>
  </w:p>
  <w:p w:rsidR="00A62810" w:rsidRDefault="00A62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0" w:type="dxa"/>
      <w:tblInd w:w="-318" w:type="dxa"/>
      <w:tblLook w:val="01E0" w:firstRow="1" w:lastRow="1" w:firstColumn="1" w:lastColumn="1" w:noHBand="0" w:noVBand="0"/>
    </w:tblPr>
    <w:tblGrid>
      <w:gridCol w:w="6912"/>
      <w:gridCol w:w="3548"/>
    </w:tblGrid>
    <w:tr w:rsidR="00E4542E" w:rsidRPr="001C2C11" w:rsidTr="006039BC">
      <w:tc>
        <w:tcPr>
          <w:tcW w:w="6912" w:type="dxa"/>
        </w:tcPr>
        <w:p w:rsidR="00E4542E" w:rsidRPr="00A27DA0" w:rsidRDefault="00E4542E" w:rsidP="006039BC">
          <w:pPr>
            <w:jc w:val="center"/>
            <w:rPr>
              <w:sz w:val="24"/>
              <w:szCs w:val="24"/>
              <w:lang w:val="en-US"/>
            </w:rPr>
          </w:pPr>
          <w:r w:rsidRPr="00A27DA0">
            <w:rPr>
              <w:sz w:val="24"/>
              <w:szCs w:val="24"/>
              <w:lang w:val="en-US"/>
            </w:rPr>
            <w:t>ROM</w:t>
          </w:r>
          <w:r w:rsidRPr="00A27DA0">
            <w:rPr>
              <w:sz w:val="24"/>
              <w:szCs w:val="24"/>
            </w:rPr>
            <w:t>ÂNIA</w:t>
          </w:r>
          <w:r w:rsidRPr="00A27DA0">
            <w:rPr>
              <w:sz w:val="24"/>
              <w:szCs w:val="24"/>
              <w:lang w:val="en-US"/>
            </w:rPr>
            <w:t xml:space="preserve"> </w:t>
          </w:r>
        </w:p>
        <w:p w:rsidR="00E4542E" w:rsidRPr="003144D1" w:rsidRDefault="00E4542E" w:rsidP="006039BC">
          <w:pPr>
            <w:jc w:val="center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MINISTERUL AFACERILOR INTERNE</w:t>
          </w:r>
        </w:p>
        <w:p w:rsidR="00E4542E" w:rsidRPr="003144D1" w:rsidRDefault="00E4542E" w:rsidP="006039BC">
          <w:pPr>
            <w:ind w:right="-130"/>
            <w:jc w:val="center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DEPARTAMENTUL PENTRU SITUAŢII DE URGENŢĂ</w:t>
          </w:r>
        </w:p>
        <w:p w:rsidR="00E4542E" w:rsidRPr="003144D1" w:rsidRDefault="00E4542E" w:rsidP="006039BC">
          <w:pPr>
            <w:ind w:left="-534" w:right="-568"/>
            <w:jc w:val="center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INSPECTORATUL GENERAL PENTRU SITUAŢII DE URGENŢĂ</w:t>
          </w:r>
        </w:p>
        <w:p w:rsidR="00E4542E" w:rsidRPr="003144D1" w:rsidRDefault="00E4542E" w:rsidP="006039BC">
          <w:pPr>
            <w:jc w:val="center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INSPECTORATUL PENTRU SITUAŢII DE URGENŢĂ</w:t>
          </w:r>
        </w:p>
        <w:p w:rsidR="00E4542E" w:rsidRPr="003144D1" w:rsidRDefault="00E4542E" w:rsidP="006039BC">
          <w:pPr>
            <w:ind w:right="-284"/>
            <w:jc w:val="center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„UNIREA” AL JUDEŢULUI ALBA</w:t>
          </w:r>
        </w:p>
        <w:p w:rsidR="00E4542E" w:rsidRPr="001C2C11" w:rsidRDefault="00E4542E" w:rsidP="006039BC">
          <w:pPr>
            <w:jc w:val="center"/>
            <w:rPr>
              <w:lang w:val="en-US"/>
            </w:rPr>
          </w:pPr>
          <w:r>
            <w:rPr>
              <w:rFonts w:eastAsia="MS Mincho"/>
              <w:noProof/>
              <w:szCs w:val="24"/>
              <w:lang w:val="en-US"/>
            </w:rPr>
            <w:drawing>
              <wp:inline distT="0" distB="0" distL="0" distR="0" wp14:anchorId="2345410E" wp14:editId="32DD8044">
                <wp:extent cx="464820" cy="464820"/>
                <wp:effectExtent l="0" t="0" r="0" b="0"/>
                <wp:docPr id="1" name="Picture 1" descr="E:\multimedia\HERALDICA\ISU 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multimedia\HERALDICA\ISU A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8" w:type="dxa"/>
          <w:hideMark/>
        </w:tcPr>
        <w:p w:rsidR="00E4542E" w:rsidRPr="003144D1" w:rsidRDefault="00E4542E" w:rsidP="006039BC">
          <w:pPr>
            <w:tabs>
              <w:tab w:val="left" w:pos="545"/>
            </w:tabs>
            <w:spacing w:line="360" w:lineRule="auto"/>
            <w:ind w:firstLine="919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NESECRET</w:t>
          </w:r>
        </w:p>
        <w:p w:rsidR="00E4542E" w:rsidRPr="003144D1" w:rsidRDefault="002555E2" w:rsidP="006039BC">
          <w:pPr>
            <w:tabs>
              <w:tab w:val="left" w:pos="545"/>
            </w:tabs>
            <w:spacing w:line="360" w:lineRule="auto"/>
            <w:ind w:firstLine="919"/>
            <w:rPr>
              <w:sz w:val="24"/>
              <w:szCs w:val="24"/>
            </w:rPr>
          </w:pPr>
          <w:r>
            <w:rPr>
              <w:sz w:val="24"/>
              <w:szCs w:val="24"/>
            </w:rPr>
            <w:t>Anexa 3</w:t>
          </w:r>
          <w:r w:rsidR="00E4542E">
            <w:rPr>
              <w:sz w:val="24"/>
              <w:szCs w:val="24"/>
            </w:rPr>
            <w:t xml:space="preserve"> la nr. </w:t>
          </w:r>
        </w:p>
        <w:p w:rsidR="00E4542E" w:rsidRPr="003144D1" w:rsidRDefault="00E4542E" w:rsidP="006039BC">
          <w:pPr>
            <w:tabs>
              <w:tab w:val="left" w:pos="545"/>
            </w:tabs>
            <w:spacing w:line="360" w:lineRule="auto"/>
            <w:ind w:firstLine="919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 xml:space="preserve">din </w:t>
          </w:r>
          <w:r w:rsidR="00745771">
            <w:rPr>
              <w:sz w:val="24"/>
              <w:szCs w:val="24"/>
            </w:rPr>
            <w:t>24.03.2023</w:t>
          </w:r>
        </w:p>
        <w:p w:rsidR="00E4542E" w:rsidRPr="003144D1" w:rsidRDefault="00E4542E" w:rsidP="006039BC">
          <w:pPr>
            <w:tabs>
              <w:tab w:val="left" w:pos="545"/>
            </w:tabs>
            <w:spacing w:line="360" w:lineRule="auto"/>
            <w:ind w:firstLine="919"/>
            <w:rPr>
              <w:sz w:val="24"/>
              <w:szCs w:val="24"/>
            </w:rPr>
          </w:pPr>
          <w:r w:rsidRPr="003144D1">
            <w:rPr>
              <w:sz w:val="24"/>
              <w:szCs w:val="24"/>
            </w:rPr>
            <w:t>Exemplar unic</w:t>
          </w:r>
        </w:p>
      </w:tc>
    </w:tr>
  </w:tbl>
  <w:p w:rsidR="00A62810" w:rsidRPr="00E4542E" w:rsidRDefault="00A62810" w:rsidP="00E454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4BC"/>
    <w:multiLevelType w:val="hybridMultilevel"/>
    <w:tmpl w:val="905EDC3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8E0474"/>
    <w:multiLevelType w:val="hybridMultilevel"/>
    <w:tmpl w:val="F772741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467EC0"/>
    <w:multiLevelType w:val="hybridMultilevel"/>
    <w:tmpl w:val="6F40736A"/>
    <w:lvl w:ilvl="0" w:tplc="56A21754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63B2969"/>
    <w:multiLevelType w:val="hybridMultilevel"/>
    <w:tmpl w:val="A51CCEB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95600E"/>
    <w:multiLevelType w:val="hybridMultilevel"/>
    <w:tmpl w:val="8F66E782"/>
    <w:lvl w:ilvl="0" w:tplc="0409000B">
      <w:start w:val="1"/>
      <w:numFmt w:val="bullet"/>
      <w:lvlText w:val=""/>
      <w:lvlJc w:val="left"/>
      <w:pPr>
        <w:tabs>
          <w:tab w:val="num" w:pos="6881"/>
        </w:tabs>
        <w:ind w:left="6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601"/>
        </w:tabs>
        <w:ind w:left="7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21"/>
        </w:tabs>
        <w:ind w:left="8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41"/>
        </w:tabs>
        <w:ind w:left="9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761"/>
        </w:tabs>
        <w:ind w:left="9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481"/>
        </w:tabs>
        <w:ind w:left="10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201"/>
        </w:tabs>
        <w:ind w:left="11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921"/>
        </w:tabs>
        <w:ind w:left="11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41"/>
        </w:tabs>
        <w:ind w:left="12641" w:hanging="360"/>
      </w:pPr>
      <w:rPr>
        <w:rFonts w:ascii="Wingdings" w:hAnsi="Wingdings" w:hint="default"/>
      </w:rPr>
    </w:lvl>
  </w:abstractNum>
  <w:abstractNum w:abstractNumId="5">
    <w:nsid w:val="3CF4140F"/>
    <w:multiLevelType w:val="hybridMultilevel"/>
    <w:tmpl w:val="76E82F3E"/>
    <w:lvl w:ilvl="0" w:tplc="0418000D">
      <w:start w:val="1"/>
      <w:numFmt w:val="bullet"/>
      <w:lvlText w:val=""/>
      <w:lvlJc w:val="left"/>
      <w:pPr>
        <w:ind w:left="1323" w:hanging="756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F6E1058"/>
    <w:multiLevelType w:val="hybridMultilevel"/>
    <w:tmpl w:val="AC746B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E7CC4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463947"/>
    <w:multiLevelType w:val="hybridMultilevel"/>
    <w:tmpl w:val="0B5E794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E25A2A"/>
    <w:multiLevelType w:val="hybridMultilevel"/>
    <w:tmpl w:val="99921BA8"/>
    <w:lvl w:ilvl="0" w:tplc="AFD046E8">
      <w:numFmt w:val="bullet"/>
      <w:lvlText w:val="-"/>
      <w:lvlJc w:val="left"/>
      <w:pPr>
        <w:ind w:left="1323" w:hanging="756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8B20FA0"/>
    <w:multiLevelType w:val="hybridMultilevel"/>
    <w:tmpl w:val="33E2CD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33"/>
    <w:rsid w:val="000C651A"/>
    <w:rsid w:val="00164933"/>
    <w:rsid w:val="002555E2"/>
    <w:rsid w:val="003B1E7F"/>
    <w:rsid w:val="003E2EC5"/>
    <w:rsid w:val="004448B5"/>
    <w:rsid w:val="00484CC0"/>
    <w:rsid w:val="00485F1B"/>
    <w:rsid w:val="00506089"/>
    <w:rsid w:val="0055519C"/>
    <w:rsid w:val="005D396E"/>
    <w:rsid w:val="00745771"/>
    <w:rsid w:val="007E6ECC"/>
    <w:rsid w:val="00827B51"/>
    <w:rsid w:val="00851261"/>
    <w:rsid w:val="00875CEB"/>
    <w:rsid w:val="008B2AAA"/>
    <w:rsid w:val="008C40A5"/>
    <w:rsid w:val="00A62810"/>
    <w:rsid w:val="00AB69E5"/>
    <w:rsid w:val="00AE4FC0"/>
    <w:rsid w:val="00B111E0"/>
    <w:rsid w:val="00C071F2"/>
    <w:rsid w:val="00C2464F"/>
    <w:rsid w:val="00C85B87"/>
    <w:rsid w:val="00CE2B4B"/>
    <w:rsid w:val="00CE6664"/>
    <w:rsid w:val="00D73604"/>
    <w:rsid w:val="00E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F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F1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2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9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F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F1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2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ujab@isualba.ro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ujab@isualba.ro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59C1-FB50-4779-BF1B-F3CEDD45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Costincianu</dc:creator>
  <cp:lastModifiedBy>Cristian Pasculet</cp:lastModifiedBy>
  <cp:revision>10</cp:revision>
  <cp:lastPrinted>2021-10-22T08:40:00Z</cp:lastPrinted>
  <dcterms:created xsi:type="dcterms:W3CDTF">2022-10-31T07:10:00Z</dcterms:created>
  <dcterms:modified xsi:type="dcterms:W3CDTF">2023-03-23T13:13:00Z</dcterms:modified>
</cp:coreProperties>
</file>